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/>
        <w:t>Приложение 1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к отчету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деятельности клинико-диагностической лаборатории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ГБУЗ НО_______________________________________»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КДЛ /И.О.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имя, отчество)</w:t>
      </w:r>
    </w:p>
    <w:p>
      <w:pPr>
        <w:pStyle w:val="ListParagraph"/>
        <w:spacing w:lineRule="auto" w:line="240" w:before="0" w:after="0"/>
        <w:ind w:left="0" w:right="0" w:hanging="0"/>
        <w:contextualSpacing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Специальность по диплому___________________________________________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Контакты 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(телефон, электронный адрес)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За 2020 г. произошли следующие изменения в лабораторной службе субъекта по сравнению с 2018 г и 2019 г. (указать наиболее существенные изменения в организации работы лабораторной службы в объеме 1 листа):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по состоянию на 31 декабря 2020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по лабораториям Минздрава НО)</w:t>
      </w:r>
    </w:p>
    <w:tbl>
      <w:tblPr>
        <w:jc w:val="lef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709"/>
        <w:gridCol w:w="4953"/>
        <w:gridCol w:w="1700"/>
        <w:gridCol w:w="1981"/>
      </w:tblGrid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Комментарии</w:t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Деятельность лабораторий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Клинико-диагностические лаборатории (всего)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 них: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в том числе на РНК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исследования на антиген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экспресс-методом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выявление антител 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методом ИФА (ИХЛА)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выявление антител 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экспресс- методом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Клинико-диагностические лаборатории, в составе которых есть микробиологические (бактериологические) лаборатории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из них: 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в том числе на РНК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исследования на антиген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экспресс-методом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выявление антител 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методом ИФА (ИХЛА)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выявление антител 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экспресс- методом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Микробиологических (бактериологические) лаборатории (всего)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из них: 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в том числе на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Централизованные клинико-диагностические лаборатории  (всего)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из них: 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в том числе на РНК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исследования на антиген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экспресс-методом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выявление антител 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методом ИФА (ИХЛА)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проводят выявление антител 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 экспресс- методом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Централизованные микробиологические (бактериологические) лаборатории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из них: 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проводят молекулярно-генетические исследования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в том числе на РНК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Открыто новых молекулярно-генетических лабораторий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в том числе для диагностики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COVID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Количество лабораторий радиоиммунного анализа (лабораторные исследования)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  <w:t>Кадровый потенциал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лиц с немедицинским или фармацевтическим образованием, занимающих должности заведующих лабораториями,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клинико-диагностических лабораториях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Соотношение количества лиц с высшим медицинским/ высшим немедицинским образованием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клинико-диагностических лабораториях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Соотношение количества лиц с высшим образованием / лиц со средним медицинским образованием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клинико-диагностических лабораториях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Соотношение медицинских технологов/медицинских лабораторных техников (фельдшеров-лаборантов), лаборантов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клинико-диагностических лабораториях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  <w:t xml:space="preserve">Диагностика </w:t>
            </w: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  <w:lang w:val="en-US"/>
              </w:rPr>
              <w:t>COVID-19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Количество исследований, выполненных методом амплификации нуклеиновых кислот (МАНК, ПЦР)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на РНК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Количество исследований, выполненных методом ИФА и/или ИХЛА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Количество исследований, выполненных экспресс-тестами на антиген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Количество исследований, выполненных экспресс-тестами на антитела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  <w:t>Химико-токсикологические исследования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выполненных исследований на обнаружение наркотических средств в моче, в том числе по единичным аналитам и групповых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исследований на злоупотребление алкоголем (карбогидрат-дефицитный трансферрин -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CDT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фосфатидилэтанол, этилглюкоронид)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  <w:t>Контроль качества исследований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Количество лабораторий, участвующих в программах внешней оценки качества (ФСВОК и др., уточнить), в том числе по программам: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ВИЧ-инфекции (ИФА)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Сифилис (ИФА)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Вирусный гепатит В (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HbsAg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)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Вирусный гепатит В (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ДНК ВГВ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Вирусный гепатит С (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антитела к ВГС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Вирусный гепатит С (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РНК ВГС)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  <w:lang w:val="en-US"/>
              </w:rPr>
              <w:t>COVID-19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 (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РНК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ascii="Times New Roman" w:hAnsi="Times New Roman"/>
                <w:color w:val="2D2D2D"/>
                <w:spacing w:val="2"/>
                <w:shd w:fill="FFFFFF" w:val="clear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  <w:lang w:val="en-US"/>
              </w:rPr>
              <w:t>COVID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-19 (антитела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 xml:space="preserve">к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SARS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  <w:lang w:val="en-US"/>
              </w:rPr>
              <w:t>CoV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fill="FFFFFF" w:val="clear"/>
              </w:rPr>
              <w:t>-2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2124" w:right="0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к Пояснительной записке по таблице (5302)</w:t>
      </w:r>
    </w:p>
    <w:p>
      <w:pPr>
        <w:pStyle w:val="Normal"/>
        <w:spacing w:lineRule="auto" w:line="240" w:before="0" w:after="0"/>
        <w:ind w:left="2124" w:right="0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П.13 «Оснащение лаборатории оборудованием»</w:t>
      </w:r>
    </w:p>
    <w:p>
      <w:pPr>
        <w:pStyle w:val="Normal"/>
        <w:spacing w:before="0" w:after="120"/>
        <w:ind w:left="0" w:righ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before="0" w:after="120"/>
        <w:ind w:left="0" w:righ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Дополнительное оборудование, находящееся за пределами баланса медицинской организации и используемое на договорной основе (договор аренды, лизинг и т.д.), указывается в пояснительной записке в виде приложения по форме:</w:t>
      </w:r>
    </w:p>
    <w:tbl>
      <w:tblPr>
        <w:jc w:val="left"/>
        <w:tblInd w:w="-361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5010"/>
        <w:gridCol w:w="849"/>
        <w:gridCol w:w="988"/>
        <w:gridCol w:w="2839"/>
      </w:tblGrid>
      <w:tr>
        <w:trPr>
          <w:trHeight w:val="844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 xml:space="preserve">Наименование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Кол-во</w:t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Основания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(договор аренды, лизинг и др.)- указать</w:t>
            </w:r>
          </w:p>
        </w:tc>
      </w:tr>
      <w:tr>
        <w:trPr>
          <w:trHeight w:val="459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  <w:t>Оборудование для клинико-диагностических лабораторий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1.1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1.2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748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69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2.1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69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2.2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  <w:t xml:space="preserve">Оборудование для цитологических лабораторий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3.1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3.2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  <w:t xml:space="preserve">Оборудование для химико-токсикологических лабораторий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4.1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4.2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  <w:t>Другое оборудование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5.1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53" w:hRule="atLeast"/>
          <w:cantSplit w:val="false"/>
        </w:trPr>
        <w:tc>
          <w:tcPr>
            <w:tcW w:w="5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  <w:t>5.2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spacing w:before="0" w:after="160"/>
              <w:jc w:val="both"/>
              <w:rPr>
                <w:rFonts w:eastAsia="Cambria" w:ascii="Times New Roman" w:hAnsi="Times New Roman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righ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righ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righ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righ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righ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bookmarkStart w:id="0" w:name="__DdeLink__912_909742249"/>
      <w:r>
        <w:rPr/>
        <w:t xml:space="preserve">Приложение 1 и 2 необходимо отправить на почту </w:t>
      </w:r>
      <w:hyperlink r:id="rId2">
        <w:r>
          <w:rPr>
            <w:rStyle w:val="Style14"/>
          </w:rPr>
          <w:t>kdl_mzno@mail.ru</w:t>
        </w:r>
      </w:hyperlink>
      <w:r>
        <w:rPr/>
        <w:t xml:space="preserve"> в соответствии с графиком сдачи годового отчета.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  <w:t>Главный специалист по КДЛ 8-905-660-22-04 Абалихина Елена Павловна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  <w:t xml:space="preserve">Главный специалист по клинической микробиологии и антимикробной резистентности  8-920-057-77—08 Макарова </w:t>
      </w:r>
      <w:r>
        <w:rPr/>
        <w:t>С</w:t>
      </w:r>
      <w:bookmarkEnd w:id="0"/>
      <w:r>
        <w:rPr/>
        <w:t>ветлана Юрьевна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  <w:t xml:space="preserve">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count="376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  <w:lsdException w:unhideWhenUsed="1" w:semiHidden="1" w:name="Hashtag"/>
    <w:lsdException w:unhideWhenUsed="1" w:semiHidden="1" w:name="Unresolved Mention"/>
    <w:lsdException w:unhideWhenUsed="1" w:semiHidden="1" w:name="Smart Link"/>
  </w:latentStyles>
  <w:style w:type="paragraph" w:styleId="Normal" w:default="1">
    <w:name w:val="Normal"/>
    <w:qFormat/>
    <w:rsid w:val="001c019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>
    <w:name w:val="Интернет-ссылка"/>
    <w:uiPriority w:val="99"/>
    <w:semiHidden/>
    <w:unhideWhenUsed/>
    <w:rsid w:val="005d0f44"/>
    <w:basedOn w:val="DefaultParagraphFont"/>
    <w:rPr>
      <w:color w:val="0000FF"/>
      <w:u w:val="single"/>
      <w:lang w:val="zxx" w:eastAsia="zxx" w:bidi="zxx"/>
    </w:rPr>
  </w:style>
  <w:style w:type="character" w:styleId="ListLabel1">
    <w:name w:val="ListLabel 1"/>
    <w:rPr>
      <w:rFonts w:eastAsia="Calibri" w:cs="Times New Roman"/>
    </w:rPr>
  </w:style>
  <w:style w:type="character" w:styleId="ListLabel2">
    <w:name w:val="ListLabel 2"/>
    <w:rPr>
      <w:rFonts w:cs="Courier New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FreeSans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da290b"/>
    <w:basedOn w:val="Normal"/>
    <w:pPr>
      <w:spacing w:before="0" w:after="16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d0f44"/>
    <w:pPr>
      <w:spacing w:line="240" w:lineRule="auto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dl_mzno@mail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LibreOffice/4.2.8.2$Linux_x86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2020-12-06T07:23:00Z</dcterms:created>
  <dc:creator>Tatiana</dc:creator>
  <dc:language>ru-RU</dc:language>
  <cp:lastModifiedBy>Tatiana</cp:lastModifiedBy>
  <dcterms:modified xsi:type="dcterms:W3CDTF">2020-12-06T07:23:00Z</dcterms:modified>
  <cp:revision>2</cp:revision>
</cp:coreProperties>
</file>